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85D0" w14:textId="224E7436" w:rsidR="00502F83" w:rsidRPr="002B2789" w:rsidRDefault="00502F83">
      <w:pPr>
        <w:rPr>
          <w:b/>
          <w:bCs/>
          <w:sz w:val="24"/>
          <w:szCs w:val="24"/>
        </w:rPr>
      </w:pPr>
      <w:bookmarkStart w:id="0" w:name="_GoBack"/>
      <w:bookmarkEnd w:id="0"/>
      <w:r w:rsidRPr="002B2789">
        <w:rPr>
          <w:b/>
          <w:bCs/>
          <w:sz w:val="24"/>
          <w:szCs w:val="24"/>
        </w:rPr>
        <w:t>Population volatility and movement to and from East Coast Electorate</w:t>
      </w:r>
    </w:p>
    <w:p w14:paraId="436A44D2" w14:textId="156BF0A4" w:rsidR="0047332B" w:rsidRDefault="0047332B">
      <w:r>
        <w:t>The East Coast Electorate shares boundaries with four electorates: Napier, Bay of Plenty, Rotorua and Taupo.</w:t>
      </w:r>
    </w:p>
    <w:p w14:paraId="7CE936A8" w14:textId="5AC50049" w:rsidR="005370B8" w:rsidRDefault="0047332B">
      <w:r>
        <w:t>There is no crossover with the Taupo electorate – the population does not move between electorates to work or shop, and there is no shared voting.</w:t>
      </w:r>
      <w:r w:rsidR="007C0063">
        <w:t xml:space="preserve"> It is noted that there are no proposed changes to the Taupo electorate boundary.</w:t>
      </w:r>
    </w:p>
    <w:p w14:paraId="2B48E531" w14:textId="41A6617A" w:rsidR="0047332B" w:rsidRDefault="0047332B">
      <w:r>
        <w:t>There is population movement from East Coast to Bay of Plenty to work and shop.</w:t>
      </w:r>
      <w:r w:rsidR="00B03D89">
        <w:t xml:space="preserve"> This is notable in </w:t>
      </w:r>
      <w:proofErr w:type="spellStart"/>
      <w:r w:rsidR="00B03D89">
        <w:t>Maketu</w:t>
      </w:r>
      <w:proofErr w:type="spellEnd"/>
      <w:r w:rsidR="00C45706">
        <w:t xml:space="preserve"> and</w:t>
      </w:r>
      <w:r w:rsidR="00B03D89">
        <w:t xml:space="preserve"> </w:t>
      </w:r>
      <w:proofErr w:type="spellStart"/>
      <w:r w:rsidR="00B03D89">
        <w:t>Paengaroa</w:t>
      </w:r>
      <w:proofErr w:type="spellEnd"/>
      <w:r w:rsidR="00B03D89">
        <w:t xml:space="preserve"> to Te Puke, Papamoa, </w:t>
      </w:r>
      <w:r w:rsidR="00C45706">
        <w:t xml:space="preserve">and </w:t>
      </w:r>
      <w:r w:rsidR="00B03D89">
        <w:t xml:space="preserve">Mount Maunganui. Residents in </w:t>
      </w:r>
      <w:proofErr w:type="spellStart"/>
      <w:r w:rsidR="00B03D89">
        <w:t>Maketu</w:t>
      </w:r>
      <w:proofErr w:type="spellEnd"/>
      <w:r w:rsidR="00C45706">
        <w:t xml:space="preserve"> and</w:t>
      </w:r>
      <w:r w:rsidR="00B03D89">
        <w:t xml:space="preserve"> </w:t>
      </w:r>
      <w:proofErr w:type="spellStart"/>
      <w:r w:rsidR="00B03D89">
        <w:t>Paengaroa</w:t>
      </w:r>
      <w:proofErr w:type="spellEnd"/>
      <w:r w:rsidR="00B03D89">
        <w:t xml:space="preserve"> identify more closely with the Mount and are governed by the </w:t>
      </w:r>
      <w:r w:rsidR="00CB6044">
        <w:t>Western Bay of Plenty Regional Council.</w:t>
      </w:r>
      <w:r w:rsidR="007C0063">
        <w:t xml:space="preserve"> There are around </w:t>
      </w:r>
      <w:r w:rsidR="00DD30E7">
        <w:t>700</w:t>
      </w:r>
      <w:r w:rsidR="007C0063">
        <w:t xml:space="preserve"> voters on the East Coast roll in these areas.</w:t>
      </w:r>
      <w:r w:rsidR="00502F83">
        <w:t xml:space="preserve"> Voters on the Bay of Plenty side of the boundary did not vote in the East Coast electorate, however </w:t>
      </w:r>
      <w:r w:rsidR="009C353E">
        <w:t>around half of voters from that area voted in Te Puke, and a smaller but significant number in Papamoa. These voters could be moved to the newly proposed Mt Maunganui electorate.</w:t>
      </w:r>
    </w:p>
    <w:p w14:paraId="32B9D1F9" w14:textId="0ABD852C" w:rsidR="00B03D89" w:rsidRDefault="00B03D89" w:rsidP="00B03D89">
      <w:r>
        <w:t xml:space="preserve">There is population movement from East Coast to Rotorua to work and shop. This is notable in </w:t>
      </w:r>
      <w:proofErr w:type="spellStart"/>
      <w:r>
        <w:t>Murupara</w:t>
      </w:r>
      <w:proofErr w:type="spellEnd"/>
      <w:r>
        <w:t xml:space="preserve">, </w:t>
      </w:r>
      <w:r w:rsidR="00EE4A43">
        <w:t xml:space="preserve">Galatea, </w:t>
      </w:r>
      <w:proofErr w:type="spellStart"/>
      <w:r>
        <w:t>Minginui</w:t>
      </w:r>
      <w:proofErr w:type="spellEnd"/>
      <w:r>
        <w:t xml:space="preserve"> and </w:t>
      </w:r>
      <w:proofErr w:type="spellStart"/>
      <w:r>
        <w:t>Ruatahuna</w:t>
      </w:r>
      <w:proofErr w:type="spellEnd"/>
      <w:r>
        <w:t xml:space="preserve">. </w:t>
      </w:r>
      <w:r w:rsidR="007C0063">
        <w:t xml:space="preserve">The total population voting on the East Coast roll in these areas is also around </w:t>
      </w:r>
      <w:r w:rsidR="00DD30E7">
        <w:t>600</w:t>
      </w:r>
      <w:r w:rsidR="007C0063">
        <w:t xml:space="preserve"> voters</w:t>
      </w:r>
      <w:r w:rsidR="00C525CE">
        <w:t xml:space="preserve">. The majority of voters in this area are enrolled on the </w:t>
      </w:r>
      <w:proofErr w:type="spellStart"/>
      <w:r w:rsidR="00C525CE">
        <w:t>Waiariki</w:t>
      </w:r>
      <w:proofErr w:type="spellEnd"/>
      <w:r w:rsidR="00C525CE">
        <w:t xml:space="preserve"> roll.</w:t>
      </w:r>
    </w:p>
    <w:p w14:paraId="3163983B" w14:textId="570BD6F1" w:rsidR="00406668" w:rsidRDefault="00B03D89" w:rsidP="00406668">
      <w:r>
        <w:t xml:space="preserve">There is population movement from the Napier Electorate to East Coast to work and shop in </w:t>
      </w:r>
      <w:proofErr w:type="spellStart"/>
      <w:r>
        <w:t>Tiniroto</w:t>
      </w:r>
      <w:proofErr w:type="spellEnd"/>
      <w:r>
        <w:t xml:space="preserve">, </w:t>
      </w:r>
      <w:proofErr w:type="spellStart"/>
      <w:r>
        <w:t>Muriwai</w:t>
      </w:r>
      <w:proofErr w:type="spellEnd"/>
      <w:r w:rsidR="00CB6044">
        <w:t xml:space="preserve">, Motu, </w:t>
      </w:r>
      <w:proofErr w:type="spellStart"/>
      <w:r w:rsidR="00CB6044">
        <w:t>Otoko</w:t>
      </w:r>
      <w:proofErr w:type="spellEnd"/>
      <w:r w:rsidR="00CB6044">
        <w:t xml:space="preserve"> </w:t>
      </w:r>
      <w:r>
        <w:t xml:space="preserve">and </w:t>
      </w:r>
      <w:proofErr w:type="spellStart"/>
      <w:r>
        <w:t>Matawai</w:t>
      </w:r>
      <w:proofErr w:type="spellEnd"/>
      <w:r>
        <w:t xml:space="preserve">. </w:t>
      </w:r>
      <w:r w:rsidR="00406668">
        <w:t>These areas, together with the a</w:t>
      </w:r>
      <w:r>
        <w:t>reas affected by the proposed boundary changes</w:t>
      </w:r>
      <w:r w:rsidR="00406668">
        <w:t xml:space="preserve"> -</w:t>
      </w:r>
      <w:r>
        <w:t xml:space="preserve"> </w:t>
      </w:r>
      <w:proofErr w:type="spellStart"/>
      <w:r>
        <w:t>Manutuke</w:t>
      </w:r>
      <w:proofErr w:type="spellEnd"/>
      <w:r>
        <w:t xml:space="preserve">, </w:t>
      </w:r>
      <w:proofErr w:type="spellStart"/>
      <w:r>
        <w:t>Patutahi</w:t>
      </w:r>
      <w:proofErr w:type="spellEnd"/>
      <w:r>
        <w:t xml:space="preserve">, Te Karaka, </w:t>
      </w:r>
      <w:r w:rsidR="00406668">
        <w:t xml:space="preserve">and </w:t>
      </w:r>
      <w:proofErr w:type="spellStart"/>
      <w:r>
        <w:t>Whatatutu</w:t>
      </w:r>
      <w:proofErr w:type="spellEnd"/>
      <w:r>
        <w:t xml:space="preserve"> </w:t>
      </w:r>
      <w:r w:rsidR="00406668">
        <w:t xml:space="preserve">- </w:t>
      </w:r>
      <w:r>
        <w:t>identify with Gisborne are governed by the Gisborne District Council.</w:t>
      </w:r>
      <w:r w:rsidR="007C0063">
        <w:t xml:space="preserve"> Approximately 1300 voters are on the East Coast roll in these areas.</w:t>
      </w:r>
      <w:r w:rsidR="00C525CE">
        <w:t xml:space="preserve"> The voting population in this area is not volatile – people who come from these areas largely stay in these areas.</w:t>
      </w:r>
      <w:r w:rsidR="009C353E">
        <w:t xml:space="preserve"> Shared voting was conducted at each of the voting places in these areas.</w:t>
      </w:r>
    </w:p>
    <w:p w14:paraId="5F7BA539" w14:textId="3D6A5D2D" w:rsidR="009C353E" w:rsidRDefault="009C353E" w:rsidP="00406668">
      <w:r>
        <w:t>The proposed boundary changes between Rotorua and Mt Maunganui</w:t>
      </w:r>
      <w:r w:rsidR="00673250">
        <w:t xml:space="preserve"> leave both areas with a shortfall. Mt Maunganui with the largest shortfall of 1720 voters</w:t>
      </w:r>
      <w:r w:rsidR="00DD30E7">
        <w:t xml:space="preserve"> could take 700 voters from </w:t>
      </w:r>
      <w:proofErr w:type="spellStart"/>
      <w:r w:rsidR="00DD30E7">
        <w:t>Maketu</w:t>
      </w:r>
      <w:proofErr w:type="spellEnd"/>
      <w:r w:rsidR="00DD30E7">
        <w:t xml:space="preserve"> and </w:t>
      </w:r>
      <w:proofErr w:type="spellStart"/>
      <w:r w:rsidR="00DD30E7">
        <w:t>Paengaroa</w:t>
      </w:r>
      <w:proofErr w:type="spellEnd"/>
      <w:r w:rsidR="00DD30E7">
        <w:t>. This would bring their voting population up to 68,855</w:t>
      </w:r>
      <w:r w:rsidR="00362287">
        <w:t>.</w:t>
      </w:r>
    </w:p>
    <w:p w14:paraId="7580DCB4" w14:textId="43243F1C" w:rsidR="002B2789" w:rsidRPr="002B2789" w:rsidRDefault="002B2789" w:rsidP="00406668">
      <w:pPr>
        <w:rPr>
          <w:b/>
          <w:bCs/>
          <w:sz w:val="24"/>
          <w:szCs w:val="24"/>
        </w:rPr>
      </w:pPr>
      <w:r w:rsidRPr="002B2789">
        <w:rPr>
          <w:b/>
          <w:bCs/>
          <w:sz w:val="24"/>
          <w:szCs w:val="24"/>
        </w:rPr>
        <w:t xml:space="preserve">Suggested variation </w:t>
      </w:r>
      <w:r>
        <w:rPr>
          <w:b/>
          <w:bCs/>
          <w:sz w:val="24"/>
          <w:szCs w:val="24"/>
        </w:rPr>
        <w:t>considering</w:t>
      </w:r>
      <w:r w:rsidRPr="002B2789">
        <w:rPr>
          <w:b/>
          <w:bCs/>
          <w:sz w:val="24"/>
          <w:szCs w:val="24"/>
        </w:rPr>
        <w:t xml:space="preserve"> voter identification and local authority </w:t>
      </w:r>
    </w:p>
    <w:p w14:paraId="1E71A537" w14:textId="5106D350" w:rsidR="00DD30E7" w:rsidRDefault="00DD30E7" w:rsidP="00406668">
      <w:r>
        <w:t xml:space="preserve">Rotorua could pick up 600 voters from </w:t>
      </w:r>
      <w:proofErr w:type="spellStart"/>
      <w:r>
        <w:t>Murupara</w:t>
      </w:r>
      <w:proofErr w:type="spellEnd"/>
      <w:r>
        <w:t xml:space="preserve">, </w:t>
      </w:r>
      <w:proofErr w:type="spellStart"/>
      <w:r>
        <w:t>Miniginui</w:t>
      </w:r>
      <w:proofErr w:type="spellEnd"/>
      <w:r>
        <w:t xml:space="preserve">, Galatea and </w:t>
      </w:r>
      <w:proofErr w:type="spellStart"/>
      <w:r>
        <w:t>Ruatahuna</w:t>
      </w:r>
      <w:proofErr w:type="spellEnd"/>
      <w:r w:rsidR="00362287">
        <w:t>, bring</w:t>
      </w:r>
      <w:r w:rsidR="002B2789">
        <w:t>ing</w:t>
      </w:r>
      <w:r w:rsidR="00362287">
        <w:t xml:space="preserve"> their voting population to 69,548.</w:t>
      </w:r>
    </w:p>
    <w:p w14:paraId="1B0B04BF" w14:textId="22833FA0" w:rsidR="00362287" w:rsidRDefault="00DD30E7" w:rsidP="00406668">
      <w:r>
        <w:t xml:space="preserve">East Coast should regain 200 voters from Napier in the </w:t>
      </w:r>
      <w:proofErr w:type="spellStart"/>
      <w:r>
        <w:t>Matawai</w:t>
      </w:r>
      <w:proofErr w:type="spellEnd"/>
      <w:r>
        <w:t xml:space="preserve">, Motu, </w:t>
      </w:r>
      <w:proofErr w:type="spellStart"/>
      <w:r>
        <w:t>Tiniroto</w:t>
      </w:r>
      <w:proofErr w:type="spellEnd"/>
      <w:r>
        <w:t xml:space="preserve"> and </w:t>
      </w:r>
      <w:proofErr w:type="spellStart"/>
      <w:r>
        <w:t>Muriwai</w:t>
      </w:r>
      <w:proofErr w:type="spellEnd"/>
      <w:r>
        <w:t xml:space="preserve"> areas</w:t>
      </w:r>
      <w:r w:rsidR="00362287">
        <w:t>, and lose 600 voters to Rotorua and 700 to Mt Maunganui. This would bring their voting population to 69,036.</w:t>
      </w:r>
    </w:p>
    <w:p w14:paraId="20619364" w14:textId="6CA1B4D8" w:rsidR="00DD30E7" w:rsidRDefault="00DD30E7" w:rsidP="00406668">
      <w:r>
        <w:t xml:space="preserve">The loss of 200 voters from Napier would be </w:t>
      </w:r>
      <w:r w:rsidR="00362287">
        <w:t>made up by moving the boundary between Napier and</w:t>
      </w:r>
      <w:r>
        <w:t xml:space="preserve"> Tukituki</w:t>
      </w:r>
      <w:r w:rsidR="00362287">
        <w:t xml:space="preserve">. This could be achieved by moving the voting populations of </w:t>
      </w:r>
      <w:r w:rsidR="00CE67F0">
        <w:t>Clive</w:t>
      </w:r>
      <w:r w:rsidR="00362287">
        <w:t xml:space="preserve"> (</w:t>
      </w:r>
      <w:r w:rsidR="00CE67F0">
        <w:t>around 2000</w:t>
      </w:r>
      <w:r w:rsidR="00362287">
        <w:t xml:space="preserve">) from Tukituki to Napier. This would bring Tukituki’s voting population down to </w:t>
      </w:r>
      <w:r w:rsidR="00CE67F0">
        <w:t>68,370</w:t>
      </w:r>
      <w:r w:rsidR="00362287">
        <w:t xml:space="preserve"> and Napier’s up to </w:t>
      </w:r>
      <w:r w:rsidR="00CE67F0">
        <w:t>67,467</w:t>
      </w:r>
      <w:r w:rsidR="00362287">
        <w:t>.</w:t>
      </w:r>
    </w:p>
    <w:p w14:paraId="3AF317DF" w14:textId="77777777" w:rsidR="002B2789" w:rsidRDefault="002B2789" w:rsidP="00406668"/>
    <w:p w14:paraId="41D56C69" w14:textId="77777777" w:rsidR="002B2789" w:rsidRDefault="002B2789" w:rsidP="00406668"/>
    <w:p w14:paraId="49BD7B6C" w14:textId="1E0CEAE2" w:rsidR="00362287" w:rsidRDefault="00362287" w:rsidP="00362287">
      <w:r>
        <w:t>The distribution would then be:</w:t>
      </w:r>
    </w:p>
    <w:tbl>
      <w:tblPr>
        <w:tblW w:w="6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059"/>
        <w:gridCol w:w="1209"/>
        <w:gridCol w:w="1209"/>
      </w:tblGrid>
      <w:tr w:rsidR="002B2789" w:rsidRPr="00C525CE" w14:paraId="71056FD3" w14:textId="77777777" w:rsidTr="002B2789">
        <w:trPr>
          <w:trHeight w:val="885"/>
        </w:trPr>
        <w:tc>
          <w:tcPr>
            <w:tcW w:w="1276" w:type="dxa"/>
            <w:shd w:val="clear" w:color="auto" w:fill="auto"/>
            <w:vAlign w:val="center"/>
            <w:hideMark/>
          </w:tcPr>
          <w:p w14:paraId="0534AF63" w14:textId="77777777" w:rsidR="002B2789" w:rsidRPr="00C525CE" w:rsidRDefault="002B2789" w:rsidP="009A2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lastRenderedPageBreak/>
              <w:t>Electorates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91193" w14:textId="77777777" w:rsidR="002B2789" w:rsidRPr="00C525CE" w:rsidRDefault="002B2789" w:rsidP="009A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Electoral populatio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n</w:t>
            </w:r>
          </w:p>
        </w:tc>
        <w:tc>
          <w:tcPr>
            <w:tcW w:w="851" w:type="dxa"/>
          </w:tcPr>
          <w:p w14:paraId="3F3083D7" w14:textId="77777777" w:rsidR="002B2789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  <w:p w14:paraId="54297180" w14:textId="77777777" w:rsidR="002B2789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  <w:p w14:paraId="41C74803" w14:textId="4D51E0F6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Nett Change</w:t>
            </w:r>
          </w:p>
        </w:tc>
        <w:tc>
          <w:tcPr>
            <w:tcW w:w="1059" w:type="dxa"/>
            <w:shd w:val="clear" w:color="auto" w:fill="FFFF00"/>
          </w:tcPr>
          <w:p w14:paraId="01638EBF" w14:textId="77777777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  <w:p w14:paraId="22BF4A95" w14:textId="77777777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  <w:p w14:paraId="42548AF0" w14:textId="109AAD7F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2430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New Electoral Population</w:t>
            </w:r>
          </w:p>
        </w:tc>
        <w:tc>
          <w:tcPr>
            <w:tcW w:w="1209" w:type="dxa"/>
          </w:tcPr>
          <w:p w14:paraId="35D250F9" w14:textId="77777777" w:rsidR="002B2789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  <w:p w14:paraId="0ED75E00" w14:textId="77777777" w:rsidR="002B2789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  <w:p w14:paraId="0ED0B732" w14:textId="4F15B541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Variation from quota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5641F7A" w14:textId="4B09B947" w:rsidR="002B2789" w:rsidRPr="00C525CE" w:rsidRDefault="002B2789" w:rsidP="002B2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Variance from quota (percentage)</w:t>
            </w:r>
          </w:p>
        </w:tc>
      </w:tr>
      <w:tr w:rsidR="002B2789" w:rsidRPr="00C525CE" w14:paraId="3CBCD88C" w14:textId="77777777" w:rsidTr="002B2789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</w:tcPr>
          <w:p w14:paraId="14BA2FBF" w14:textId="3607C517" w:rsidR="002B2789" w:rsidRPr="00C525CE" w:rsidRDefault="002B2789" w:rsidP="009A23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Mt Maunganui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C65FCB" w14:textId="47C8B119" w:rsidR="002B2789" w:rsidRPr="00C525CE" w:rsidRDefault="002B2789" w:rsidP="009A239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68,155</w:t>
            </w:r>
          </w:p>
        </w:tc>
        <w:tc>
          <w:tcPr>
            <w:tcW w:w="851" w:type="dxa"/>
          </w:tcPr>
          <w:p w14:paraId="77D497EF" w14:textId="5D25D6A7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+700</w:t>
            </w:r>
          </w:p>
        </w:tc>
        <w:tc>
          <w:tcPr>
            <w:tcW w:w="1059" w:type="dxa"/>
            <w:shd w:val="clear" w:color="auto" w:fill="FFFF00"/>
          </w:tcPr>
          <w:p w14:paraId="1F5FA4EA" w14:textId="10510D18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</w:pPr>
            <w:r w:rsidRPr="002430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  <w:t>68,855</w:t>
            </w:r>
          </w:p>
        </w:tc>
        <w:tc>
          <w:tcPr>
            <w:tcW w:w="1209" w:type="dxa"/>
          </w:tcPr>
          <w:p w14:paraId="331ABCFC" w14:textId="2E5BC95D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-1020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6655CB6E" w14:textId="6B52D191" w:rsidR="002B2789" w:rsidRPr="00C525CE" w:rsidRDefault="002B2789" w:rsidP="002B27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-1.5%</w:t>
            </w:r>
          </w:p>
        </w:tc>
      </w:tr>
      <w:tr w:rsidR="002B2789" w:rsidRPr="00C525CE" w14:paraId="4CBF78E5" w14:textId="77777777" w:rsidTr="002B2789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F16D07" w14:textId="77777777" w:rsidR="002B2789" w:rsidRPr="00C525CE" w:rsidRDefault="002B2789" w:rsidP="009A23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East Coast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05CD7" w14:textId="77777777" w:rsidR="002B2789" w:rsidRPr="00C525CE" w:rsidRDefault="002B2789" w:rsidP="009A239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70,136</w:t>
            </w:r>
          </w:p>
        </w:tc>
        <w:tc>
          <w:tcPr>
            <w:tcW w:w="851" w:type="dxa"/>
          </w:tcPr>
          <w:p w14:paraId="6A32FCF2" w14:textId="1A5BA0FF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-1100</w:t>
            </w:r>
          </w:p>
        </w:tc>
        <w:tc>
          <w:tcPr>
            <w:tcW w:w="1059" w:type="dxa"/>
            <w:shd w:val="clear" w:color="auto" w:fill="FFFF00"/>
          </w:tcPr>
          <w:p w14:paraId="2EEB05A2" w14:textId="1518C6BD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</w:pPr>
            <w:r w:rsidRPr="002430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  <w:t>69,036</w:t>
            </w:r>
          </w:p>
        </w:tc>
        <w:tc>
          <w:tcPr>
            <w:tcW w:w="1209" w:type="dxa"/>
          </w:tcPr>
          <w:p w14:paraId="1D65F15E" w14:textId="1DAF90DB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-839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0267FE5" w14:textId="3ED39BC6" w:rsidR="002B2789" w:rsidRPr="00C525CE" w:rsidRDefault="002B2789" w:rsidP="002B27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-1.2%</w:t>
            </w:r>
          </w:p>
        </w:tc>
      </w:tr>
      <w:tr w:rsidR="002B2789" w:rsidRPr="00C525CE" w14:paraId="2478DBBC" w14:textId="77777777" w:rsidTr="002B2789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8DC055" w14:textId="77777777" w:rsidR="002B2789" w:rsidRPr="00C525CE" w:rsidRDefault="002B2789" w:rsidP="009A23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Napier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8603C" w14:textId="77777777" w:rsidR="002B2789" w:rsidRPr="00C525CE" w:rsidRDefault="002B2789" w:rsidP="009A239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65,667</w:t>
            </w:r>
          </w:p>
        </w:tc>
        <w:tc>
          <w:tcPr>
            <w:tcW w:w="851" w:type="dxa"/>
          </w:tcPr>
          <w:p w14:paraId="55E68349" w14:textId="55BD3658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+1800</w:t>
            </w:r>
          </w:p>
        </w:tc>
        <w:tc>
          <w:tcPr>
            <w:tcW w:w="1059" w:type="dxa"/>
            <w:shd w:val="clear" w:color="auto" w:fill="FFFF00"/>
          </w:tcPr>
          <w:p w14:paraId="09B69D5D" w14:textId="671AD0AD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</w:pPr>
            <w:r w:rsidRPr="002430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  <w:t>67,467</w:t>
            </w:r>
          </w:p>
        </w:tc>
        <w:tc>
          <w:tcPr>
            <w:tcW w:w="1209" w:type="dxa"/>
          </w:tcPr>
          <w:p w14:paraId="178728F3" w14:textId="3E3BBEDD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-2408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F30B217" w14:textId="693156CB" w:rsidR="002B2789" w:rsidRPr="00C525CE" w:rsidRDefault="002B2789" w:rsidP="002B27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-3.5%</w:t>
            </w:r>
          </w:p>
        </w:tc>
      </w:tr>
      <w:tr w:rsidR="002B2789" w:rsidRPr="00C525CE" w14:paraId="1617F63D" w14:textId="77777777" w:rsidTr="002B2789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</w:tcPr>
          <w:p w14:paraId="4B928E78" w14:textId="77777777" w:rsidR="002B2789" w:rsidRPr="00C525CE" w:rsidRDefault="002B2789" w:rsidP="009A23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02F83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Tukituki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705CE5" w14:textId="77777777" w:rsidR="002B2789" w:rsidRPr="00C525CE" w:rsidRDefault="002B2789" w:rsidP="009A239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02F83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70,370</w:t>
            </w:r>
          </w:p>
        </w:tc>
        <w:tc>
          <w:tcPr>
            <w:tcW w:w="851" w:type="dxa"/>
          </w:tcPr>
          <w:p w14:paraId="59D627ED" w14:textId="5CB9E8F1" w:rsidR="002B2789" w:rsidRPr="00502F83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-2000</w:t>
            </w:r>
          </w:p>
        </w:tc>
        <w:tc>
          <w:tcPr>
            <w:tcW w:w="1059" w:type="dxa"/>
            <w:shd w:val="clear" w:color="auto" w:fill="FFFF00"/>
          </w:tcPr>
          <w:p w14:paraId="7C3DA3A6" w14:textId="4B7EDCD6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</w:pPr>
            <w:r w:rsidRPr="002430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  <w:t>68,370</w:t>
            </w:r>
          </w:p>
        </w:tc>
        <w:tc>
          <w:tcPr>
            <w:tcW w:w="1209" w:type="dxa"/>
          </w:tcPr>
          <w:p w14:paraId="6400803A" w14:textId="66A1E327" w:rsidR="002B2789" w:rsidRPr="00502F83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-1505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14:paraId="01A8AC17" w14:textId="1AC1C805" w:rsidR="002B2789" w:rsidRPr="00C525CE" w:rsidRDefault="002B2789" w:rsidP="002B27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-2.2%</w:t>
            </w:r>
          </w:p>
        </w:tc>
      </w:tr>
      <w:tr w:rsidR="002B2789" w:rsidRPr="00C525CE" w14:paraId="5BA9B62E" w14:textId="77777777" w:rsidTr="002B2789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E3051" w14:textId="77777777" w:rsidR="002B2789" w:rsidRPr="00C525CE" w:rsidRDefault="002B2789" w:rsidP="009A23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 w:rsidRPr="00C525CE"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Rotorua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06912" w14:textId="0A2ADFC7" w:rsidR="002B2789" w:rsidRPr="00C525CE" w:rsidRDefault="002B2789" w:rsidP="009A239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68,948</w:t>
            </w:r>
          </w:p>
        </w:tc>
        <w:tc>
          <w:tcPr>
            <w:tcW w:w="851" w:type="dxa"/>
          </w:tcPr>
          <w:p w14:paraId="69B92BBE" w14:textId="6E3D96B5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+600</w:t>
            </w:r>
          </w:p>
        </w:tc>
        <w:tc>
          <w:tcPr>
            <w:tcW w:w="1059" w:type="dxa"/>
            <w:shd w:val="clear" w:color="auto" w:fill="FFFF00"/>
          </w:tcPr>
          <w:p w14:paraId="3FE4BEBC" w14:textId="56A97A3C" w:rsidR="002B2789" w:rsidRPr="0024300B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</w:pPr>
            <w:r w:rsidRPr="0024300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NZ"/>
                <w14:ligatures w14:val="none"/>
              </w:rPr>
              <w:t>69,548</w:t>
            </w:r>
          </w:p>
        </w:tc>
        <w:tc>
          <w:tcPr>
            <w:tcW w:w="1209" w:type="dxa"/>
          </w:tcPr>
          <w:p w14:paraId="0935095F" w14:textId="56BD9C6F" w:rsidR="002B2789" w:rsidRPr="00C525CE" w:rsidRDefault="002B2789" w:rsidP="00243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-327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EEBA29F" w14:textId="1733BFB2" w:rsidR="002B2789" w:rsidRPr="00C525CE" w:rsidRDefault="002B2789" w:rsidP="002B27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NZ"/>
                <w14:ligatures w14:val="none"/>
              </w:rPr>
              <w:t>0.5%</w:t>
            </w:r>
          </w:p>
        </w:tc>
      </w:tr>
    </w:tbl>
    <w:p w14:paraId="0757AE11" w14:textId="77777777" w:rsidR="00362287" w:rsidRDefault="00362287" w:rsidP="00406668"/>
    <w:p w14:paraId="3321940A" w14:textId="2760CF66" w:rsidR="00362287" w:rsidRDefault="00362287" w:rsidP="00406668">
      <w:r>
        <w:t xml:space="preserve">These changes </w:t>
      </w:r>
      <w:r w:rsidR="002B2789">
        <w:t>keep</w:t>
      </w:r>
      <w:r>
        <w:t xml:space="preserve"> all electorates within the +/- 5% tolerance.</w:t>
      </w:r>
    </w:p>
    <w:p w14:paraId="2846719B" w14:textId="77777777" w:rsidR="00406668" w:rsidRDefault="00406668"/>
    <w:sectPr w:rsidR="00406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44C4D" w14:textId="77777777" w:rsidR="006F73E1" w:rsidRDefault="006F73E1" w:rsidP="002B2789">
      <w:pPr>
        <w:spacing w:after="0" w:line="240" w:lineRule="auto"/>
      </w:pPr>
      <w:r>
        <w:separator/>
      </w:r>
    </w:p>
  </w:endnote>
  <w:endnote w:type="continuationSeparator" w:id="0">
    <w:p w14:paraId="2B5F5DF7" w14:textId="77777777" w:rsidR="006F73E1" w:rsidRDefault="006F73E1" w:rsidP="002B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10DF4" w14:textId="77777777" w:rsidR="006F73E1" w:rsidRDefault="006F73E1" w:rsidP="002B2789">
      <w:pPr>
        <w:spacing w:after="0" w:line="240" w:lineRule="auto"/>
      </w:pPr>
      <w:r>
        <w:separator/>
      </w:r>
    </w:p>
  </w:footnote>
  <w:footnote w:type="continuationSeparator" w:id="0">
    <w:p w14:paraId="7D761B90" w14:textId="77777777" w:rsidR="006F73E1" w:rsidRDefault="006F73E1" w:rsidP="002B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2B"/>
    <w:rsid w:val="0024300B"/>
    <w:rsid w:val="002B2789"/>
    <w:rsid w:val="00362287"/>
    <w:rsid w:val="00406668"/>
    <w:rsid w:val="00452D51"/>
    <w:rsid w:val="0047332B"/>
    <w:rsid w:val="00502F83"/>
    <w:rsid w:val="005370B8"/>
    <w:rsid w:val="005D0331"/>
    <w:rsid w:val="00673250"/>
    <w:rsid w:val="006F73E1"/>
    <w:rsid w:val="00780D8A"/>
    <w:rsid w:val="0078304E"/>
    <w:rsid w:val="007C0063"/>
    <w:rsid w:val="009C353E"/>
    <w:rsid w:val="00B03D89"/>
    <w:rsid w:val="00C45706"/>
    <w:rsid w:val="00C525CE"/>
    <w:rsid w:val="00CB6044"/>
    <w:rsid w:val="00CE67F0"/>
    <w:rsid w:val="00D846B4"/>
    <w:rsid w:val="00DD30E7"/>
    <w:rsid w:val="00EE4A43"/>
    <w:rsid w:val="00EF4C90"/>
    <w:rsid w:val="00F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C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2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89"/>
  </w:style>
  <w:style w:type="paragraph" w:styleId="Footer">
    <w:name w:val="footer"/>
    <w:basedOn w:val="Normal"/>
    <w:link w:val="FooterChar"/>
    <w:uiPriority w:val="99"/>
    <w:unhideWhenUsed/>
    <w:rsid w:val="002B2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2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89"/>
  </w:style>
  <w:style w:type="paragraph" w:styleId="Footer">
    <w:name w:val="footer"/>
    <w:basedOn w:val="Normal"/>
    <w:link w:val="FooterChar"/>
    <w:uiPriority w:val="99"/>
    <w:unhideWhenUsed/>
    <w:rsid w:val="002B2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Parliamentary Service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Paku</dc:creator>
  <cp:lastModifiedBy>Pat</cp:lastModifiedBy>
  <cp:revision>2</cp:revision>
  <dcterms:created xsi:type="dcterms:W3CDTF">2025-04-25T20:55:00Z</dcterms:created>
  <dcterms:modified xsi:type="dcterms:W3CDTF">2025-04-25T20:55:00Z</dcterms:modified>
</cp:coreProperties>
</file>